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  <w:sectPr>
          <w:pgSz w:h="12740" w:w="16820" w:orient="landscape"/>
          <w:pgMar w:bottom="207.2380256652832" w:top="809.0576171875" w:left="183.20987701416016" w:right="156.65649414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7.827758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Fração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Razão e proporção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Escalas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Cálculo Decimais e Porcentagens Porcentagem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Potenciação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Radiciação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39.903583526611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Racionalização de denominadores Fatoração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Notação Científica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Conjuntos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Conjuntos Numéricos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Polinômios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59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Produtos notáveis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Equação do 1° grau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Equação do 2º grau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39.904413223266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Função composta e inversa Função do 1º grau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Função do 2º grau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Função quadrática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054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Função exponencial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054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Trigonometria l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6652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Trigonometria ll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78637695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Trigonometria lll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7.8295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4 a 6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7 e 8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10 a 13 14 e 15 16 e 17 18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20 e 21 22 e 23 24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39.904112815856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25 a 28 29 a 31 32 a 34 35 e 36 37 a 39 40 e 41 42 a 44 45 e 46 47 e 48 49 a 51 52 e 53 54 e 55 56 e 57 58 a 60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4"/>
          <w:szCs w:val="13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4"/>
          <w:szCs w:val="134"/>
          <w:highlight w:val="white"/>
          <w:u w:val="none"/>
          <w:vertAlign w:val="baseline"/>
          <w:rtl w:val="0"/>
        </w:rPr>
        <w:t xml:space="preserve">Índice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65063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Geometria Plana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Teorema de Tales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Área do círculo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Retas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Quadriláteros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Circunferência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Cônicas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Ângulos na circunferência e polígonos inscritos Cilindro e Cone circular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Geometria Espacial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Progressão Aritimética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Progressão Geométrica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59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Matrizes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Sistemas Lineares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2075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Análise Combinatória e contagem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Probabilidades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Estatística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Análise de Tabelas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Interpretação de Gráficos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512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Juros simples e compostos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054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Geometria Analítica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0005493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baseline"/>
          <w:rtl w:val="0"/>
        </w:rPr>
        <w:t xml:space="preserve">Números complexos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9.43237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61 a 63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64 e 65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67 a 70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39.904012680053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 71 a 73 74 e 75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76 a 81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82 a 85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86 e 87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88 e 89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90 e 91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92 a 94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59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95 a 97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9959716796875" w:line="239.90415573120117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</w:rPr>
        <w:sectPr>
          <w:type w:val="continuous"/>
          <w:pgSz w:h="12740" w:w="16820" w:orient="landscape"/>
          <w:pgMar w:bottom="207.2380256652832" w:top="809.0576171875" w:left="1477.0159912109375" w:right="1301.484375" w:header="0" w:footer="720"/>
          <w:cols w:equalWidth="0" w:num="4">
            <w:col w:space="0" w:w="3520"/>
            <w:col w:space="0" w:w="3520"/>
            <w:col w:space="0" w:w="3520"/>
            <w:col w:space="0" w:w="35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ed00"/>
          <w:sz w:val="30"/>
          <w:szCs w:val="30"/>
          <w:u w:val="none"/>
          <w:shd w:fill="auto" w:val="clear"/>
          <w:vertAlign w:val="baseline"/>
          <w:rtl w:val="0"/>
        </w:rPr>
        <w:t xml:space="preserve">98 a 104 105 a 115 116 a 119 120 a 123 124 a 127 128 a 131 132 e 133 134 e 135 136 e 137 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9.0562438964844" w:line="240" w:lineRule="auto"/>
        <w:ind w:left="11.33800506591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MATEMÁTICA- 1B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MATEMÁTICA- 1C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MATEMÁTICA- 2B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MATEMÁTICA- 03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MATEMÁTICA- 4A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MATEMÁTICA- 4B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MATEMÁTICA- 4C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MATEMÁTICA- 4D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MATEMÁTICA- 5A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MATEMÁTICA- 5B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MATEMÁTICA- 6A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MATEMÁTICA- 6B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MATEMÁTICA- 7A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MATEMÁTICA- 7B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MATEMÁTICA- 8A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MATEMÁTICA- 8B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MATEMÁTICA- 9A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MATEMÁTICA- 9B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MATEMÁTICA- 10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MATEMÁTICA- 11A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MATEMÁTICA- 11B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MATEMÁTICA- 11C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MATEMÁTICA- 11D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MATEMÁTICA- 12A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MATEMÁTICA- 12B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MATEMÁTICA- 12C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MATEMÁTICA- 13A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MATEMÁTICA- 13B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MATEMÁTICA- 13C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MATEMÁTICA- 14A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MATEMÁTICA- 14B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MATEMÁTICA- 15A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MATEMÁTICA- 15B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MATEMÁTICA- 15C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MATEMÁTICA- 16A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MATEMÁTICA- 16B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MATEMÁTICA- 17A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MATEMÁTICA- 17B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MATEMÁTICA- 17C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MATEMÁTICA- 18A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MATEMÁTICA- 18B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MATEMÁTICA- 19A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MATEMÁTICA- 19B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MATEMÁTICA- 20A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MATEMÁTICA- 20B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MATEMÁTICA- 20C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MATEMÁTICA- 21A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MATEMÁTICA- 21B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MATEMÁTICA- 22A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MATEMÁTICA- 22B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MATEMÁTICA- 23A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MATEMÁTICA- 23B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MATEMÁTICA- 24A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MATEMÁTICA- 24B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MATEMÁTICA- 24C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MATEMÁTICA- 25A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MATEMÁTICA- 25B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MATEMÁTICA- 25C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MATEMÁTICA- 26A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MATEMÁTICA- 26B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MATEMÁTICA- 27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MATEMÁTICA- 28A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MATEMÁTICA- 28B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MATEMÁTICA- 28C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MATEMÁTICA- 28D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MATEMÁTICA- 29A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MATEMÁTICA- 29B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MATEMÁTICA- 29C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MATEMÁTICA- 30A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MATEMÁTICA- 30B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MATEMÁTICA- 31A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MATEMÁTICA- 31B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MATEMÁTICA- 31C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MATEMÁTICA- 31D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0"/>
          <w:szCs w:val="30"/>
          <w:u w:val="none"/>
          <w:shd w:fill="auto" w:val="clear"/>
          <w:vertAlign w:val="subscript"/>
          <w:rtl w:val="0"/>
        </w:rPr>
        <w:t xml:space="preserve">@MISSAOENEM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PÁGINA: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33.33199818929037"/>
          <w:szCs w:val="33.33199818929037"/>
          <w:u w:val="none"/>
          <w:shd w:fill="auto" w:val="clear"/>
          <w:vertAlign w:val="superscript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2579"/>
          <w:sz w:val="19.99919891357422"/>
          <w:szCs w:val="19.99919891357422"/>
          <w:u w:val="none"/>
          <w:shd w:fill="auto" w:val="clear"/>
          <w:vertAlign w:val="baseline"/>
          <w:rtl w:val="0"/>
        </w:rPr>
        <w:t xml:space="preserve">MATEMÁTICA- 31E</w:t>
      </w:r>
    </w:p>
    <w:sectPr>
      <w:type w:val="continuous"/>
      <w:pgSz w:h="12740" w:w="16820" w:orient="landscape"/>
      <w:pgMar w:bottom="207.2380256652832" w:top="809.0576171875" w:left="183.20987701416016" w:right="156.656494140625" w:header="0" w:footer="720"/>
      <w:cols w:equalWidth="0" w:num="1">
        <w:col w:space="0" w:w="16480.13362884521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